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76" w:rsidRDefault="00A62776" w:rsidP="00A62776">
      <w:pPr>
        <w:pStyle w:val="a3"/>
        <w:shd w:val="clear" w:color="auto" w:fill="FFFFFF"/>
        <w:spacing w:line="504" w:lineRule="atLeast"/>
        <w:rPr>
          <w:color w:val="000000"/>
          <w:sz w:val="28"/>
          <w:szCs w:val="28"/>
        </w:rPr>
      </w:pPr>
      <w:r>
        <w:rPr>
          <w:rFonts w:hint="eastAsia"/>
          <w:color w:val="000000"/>
          <w:sz w:val="28"/>
          <w:szCs w:val="28"/>
        </w:rPr>
        <w:t>附件2</w:t>
      </w:r>
    </w:p>
    <w:p w:rsidR="00A62776" w:rsidRDefault="00A62776" w:rsidP="00A62776">
      <w:pPr>
        <w:pStyle w:val="a3"/>
        <w:shd w:val="clear" w:color="auto" w:fill="FFFFFF"/>
        <w:spacing w:line="504" w:lineRule="atLeast"/>
        <w:jc w:val="center"/>
        <w:rPr>
          <w:b/>
          <w:color w:val="000000"/>
          <w:sz w:val="28"/>
          <w:szCs w:val="28"/>
        </w:rPr>
      </w:pPr>
      <w:bookmarkStart w:id="0" w:name="_GoBack"/>
      <w:r>
        <w:rPr>
          <w:rFonts w:hint="eastAsia"/>
          <w:b/>
          <w:color w:val="000000"/>
          <w:sz w:val="28"/>
          <w:szCs w:val="28"/>
        </w:rPr>
        <w:t>中华女子学院本科教学工作审核评估迎评工作进程安排表</w:t>
      </w:r>
    </w:p>
    <w:bookmarkEnd w:id="0"/>
    <w:tbl>
      <w:tblPr>
        <w:tblW w:w="14480" w:type="dxa"/>
        <w:tblInd w:w="-5" w:type="dxa"/>
        <w:tblLook w:val="04A0" w:firstRow="1" w:lastRow="0" w:firstColumn="1" w:lastColumn="0" w:noHBand="0" w:noVBand="1"/>
      </w:tblPr>
      <w:tblGrid>
        <w:gridCol w:w="1340"/>
        <w:gridCol w:w="1820"/>
        <w:gridCol w:w="7080"/>
        <w:gridCol w:w="2400"/>
        <w:gridCol w:w="1840"/>
      </w:tblGrid>
      <w:tr w:rsidR="00A62776" w:rsidTr="00A62776">
        <w:trPr>
          <w:trHeight w:val="480"/>
          <w:tblHeader/>
        </w:trPr>
        <w:tc>
          <w:tcPr>
            <w:tcW w:w="1340" w:type="dxa"/>
            <w:tcBorders>
              <w:top w:val="single" w:sz="4" w:space="0" w:color="auto"/>
              <w:left w:val="single" w:sz="4" w:space="0" w:color="auto"/>
              <w:bottom w:val="single" w:sz="4" w:space="0" w:color="auto"/>
              <w:right w:val="single" w:sz="4" w:space="0" w:color="auto"/>
            </w:tcBorders>
            <w:vAlign w:val="center"/>
            <w:hideMark/>
          </w:tcPr>
          <w:p w:rsidR="00A62776" w:rsidRDefault="00A62776">
            <w:pPr>
              <w:widowControl/>
              <w:jc w:val="center"/>
              <w:rPr>
                <w:rFonts w:ascii="仿宋" w:eastAsia="仿宋" w:hAnsi="仿宋" w:cs="宋体"/>
                <w:b/>
                <w:bCs/>
                <w:color w:val="000000"/>
                <w:kern w:val="0"/>
                <w:sz w:val="24"/>
                <w:szCs w:val="24"/>
              </w:rPr>
            </w:pPr>
            <w:r>
              <w:rPr>
                <w:rFonts w:hint="eastAsia"/>
                <w:b/>
                <w:color w:val="000000"/>
                <w:sz w:val="28"/>
                <w:szCs w:val="28"/>
              </w:rPr>
              <w:br w:type="page"/>
            </w:r>
            <w:r>
              <w:rPr>
                <w:rFonts w:ascii="仿宋" w:eastAsia="仿宋" w:hAnsi="仿宋" w:cs="宋体" w:hint="eastAsia"/>
                <w:b/>
                <w:bCs/>
                <w:color w:val="000000"/>
                <w:kern w:val="0"/>
                <w:sz w:val="24"/>
                <w:szCs w:val="24"/>
              </w:rPr>
              <w:t>工作阶段</w:t>
            </w:r>
          </w:p>
        </w:tc>
        <w:tc>
          <w:tcPr>
            <w:tcW w:w="1820" w:type="dxa"/>
            <w:tcBorders>
              <w:top w:val="single" w:sz="4" w:space="0" w:color="auto"/>
              <w:left w:val="nil"/>
              <w:bottom w:val="single" w:sz="4" w:space="0" w:color="auto"/>
              <w:right w:val="single" w:sz="4" w:space="0" w:color="auto"/>
            </w:tcBorders>
            <w:vAlign w:val="center"/>
            <w:hideMark/>
          </w:tcPr>
          <w:p w:rsidR="00A62776" w:rsidRDefault="00A6277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时间进度</w:t>
            </w:r>
          </w:p>
        </w:tc>
        <w:tc>
          <w:tcPr>
            <w:tcW w:w="7080" w:type="dxa"/>
            <w:tcBorders>
              <w:top w:val="single" w:sz="4" w:space="0" w:color="auto"/>
              <w:left w:val="nil"/>
              <w:bottom w:val="single" w:sz="4" w:space="0" w:color="auto"/>
              <w:right w:val="single" w:sz="4" w:space="0" w:color="auto"/>
            </w:tcBorders>
            <w:vAlign w:val="center"/>
            <w:hideMark/>
          </w:tcPr>
          <w:p w:rsidR="00A62776" w:rsidRDefault="00A6277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重点任务</w:t>
            </w:r>
          </w:p>
        </w:tc>
        <w:tc>
          <w:tcPr>
            <w:tcW w:w="2400" w:type="dxa"/>
            <w:tcBorders>
              <w:top w:val="single" w:sz="4" w:space="0" w:color="auto"/>
              <w:left w:val="nil"/>
              <w:bottom w:val="single" w:sz="4" w:space="0" w:color="auto"/>
              <w:right w:val="single" w:sz="4" w:space="0" w:color="auto"/>
            </w:tcBorders>
            <w:vAlign w:val="center"/>
            <w:hideMark/>
          </w:tcPr>
          <w:p w:rsidR="00A62776" w:rsidRDefault="00A6277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责任主体</w:t>
            </w:r>
          </w:p>
        </w:tc>
        <w:tc>
          <w:tcPr>
            <w:tcW w:w="1840" w:type="dxa"/>
            <w:tcBorders>
              <w:top w:val="single" w:sz="4" w:space="0" w:color="auto"/>
              <w:left w:val="nil"/>
              <w:bottom w:val="single" w:sz="4" w:space="0" w:color="auto"/>
              <w:right w:val="single" w:sz="4" w:space="0" w:color="auto"/>
            </w:tcBorders>
            <w:vAlign w:val="center"/>
            <w:hideMark/>
          </w:tcPr>
          <w:p w:rsidR="00A62776" w:rsidRDefault="00A6277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责任人</w:t>
            </w:r>
          </w:p>
        </w:tc>
      </w:tr>
      <w:tr w:rsidR="00A62776" w:rsidTr="00A62776">
        <w:trPr>
          <w:trHeight w:val="480"/>
        </w:trPr>
        <w:tc>
          <w:tcPr>
            <w:tcW w:w="1340" w:type="dxa"/>
            <w:vMerge w:val="restart"/>
            <w:tcBorders>
              <w:top w:val="nil"/>
              <w:left w:val="single" w:sz="4" w:space="0" w:color="auto"/>
              <w:bottom w:val="single" w:sz="4" w:space="0" w:color="auto"/>
              <w:right w:val="single" w:sz="4" w:space="0" w:color="auto"/>
            </w:tcBorders>
            <w:vAlign w:val="center"/>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专家进校前</w:t>
            </w: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专家进校前</w:t>
            </w:r>
          </w:p>
          <w:p w:rsidR="00A62776" w:rsidRDefault="00A62776">
            <w:pPr>
              <w:widowControl/>
              <w:jc w:val="center"/>
              <w:rPr>
                <w:rFonts w:ascii="宋体" w:eastAsia="宋体" w:hAnsi="宋体" w:cs="宋体"/>
                <w:color w:val="000000"/>
                <w:kern w:val="0"/>
                <w:szCs w:val="21"/>
              </w:rPr>
            </w:pPr>
          </w:p>
        </w:tc>
        <w:tc>
          <w:tcPr>
            <w:tcW w:w="1820" w:type="dxa"/>
            <w:vMerge w:val="restart"/>
            <w:tcBorders>
              <w:top w:val="nil"/>
              <w:left w:val="single" w:sz="4" w:space="0" w:color="auto"/>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9月15日前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完成迎评各组织机构的组建，制</w:t>
            </w:r>
            <w:proofErr w:type="gramStart"/>
            <w:r>
              <w:rPr>
                <w:rFonts w:ascii="宋体" w:eastAsia="宋体" w:hAnsi="宋体" w:cs="宋体" w:hint="eastAsia"/>
                <w:color w:val="000000"/>
                <w:kern w:val="0"/>
                <w:szCs w:val="21"/>
              </w:rPr>
              <w:t>定本组迎</w:t>
            </w:r>
            <w:proofErr w:type="gramEnd"/>
            <w:r>
              <w:rPr>
                <w:rFonts w:ascii="宋体" w:eastAsia="宋体" w:hAnsi="宋体" w:cs="宋体" w:hint="eastAsia"/>
                <w:color w:val="000000"/>
                <w:kern w:val="0"/>
                <w:szCs w:val="21"/>
              </w:rPr>
              <w:t>评工作推进方案</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迎评工作组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完成支撑材料目录和评估材料存档标准制定，组建评估材料组</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评估材料组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完成教学基本状态数据的首轮采集</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评估材料组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9月18日前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完成自评报告的新</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轮修改，</w:t>
            </w:r>
            <w:proofErr w:type="gramStart"/>
            <w:r>
              <w:rPr>
                <w:rFonts w:ascii="宋体" w:eastAsia="宋体" w:hAnsi="宋体" w:cs="宋体" w:hint="eastAsia"/>
                <w:color w:val="000000"/>
                <w:kern w:val="0"/>
                <w:szCs w:val="21"/>
              </w:rPr>
              <w:t>报校领导</w:t>
            </w:r>
            <w:proofErr w:type="gramEnd"/>
            <w:r>
              <w:rPr>
                <w:rFonts w:ascii="宋体" w:eastAsia="宋体" w:hAnsi="宋体" w:cs="宋体" w:hint="eastAsia"/>
                <w:color w:val="000000"/>
                <w:kern w:val="0"/>
                <w:szCs w:val="21"/>
              </w:rPr>
              <w:t>审核后，交校外专家审核</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报告起草组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9月30日前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调整、完善、确定教学基本状态数据</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评估材料组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vMerge w:val="restart"/>
            <w:tcBorders>
              <w:top w:val="nil"/>
              <w:left w:val="single" w:sz="4" w:space="0" w:color="auto"/>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10月10日前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制定评估考察的经费预算、接待方案，按要求上传至评估管理信息系统</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报告起草组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制定审核评估工作（评估考察）的宣传工作方案及应急预案，</w:t>
            </w:r>
            <w:proofErr w:type="gramStart"/>
            <w:r>
              <w:rPr>
                <w:rFonts w:ascii="宋体" w:eastAsia="宋体" w:hAnsi="宋体" w:cs="宋体" w:hint="eastAsia"/>
                <w:color w:val="000000"/>
                <w:kern w:val="0"/>
                <w:szCs w:val="21"/>
              </w:rPr>
              <w:t>发评建</w:t>
            </w:r>
            <w:proofErr w:type="gramEnd"/>
            <w:r>
              <w:rPr>
                <w:rFonts w:ascii="宋体" w:eastAsia="宋体" w:hAnsi="宋体" w:cs="宋体" w:hint="eastAsia"/>
                <w:color w:val="000000"/>
                <w:kern w:val="0"/>
                <w:szCs w:val="21"/>
              </w:rPr>
              <w:t>办上传至评估管理信息系统</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宣传部</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完成自评报告定稿，按照要求上报纸质版、电子版至教育部评估中心，电子版同时上传至中心的评估管理信息系统</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报告起草组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vMerge w:val="restart"/>
            <w:tcBorders>
              <w:top w:val="nil"/>
              <w:left w:val="single" w:sz="4" w:space="0" w:color="auto"/>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10月15日前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完成学校门户网站及各部门网站的内容更新，建立持续完善机制</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宣传部</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组织全校师生开展本科教育教学综合改革思想大讨论</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教务处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完成教学档案、支撑材料和专家评估案头材料的整理；完成支撑材料、案头材料的电子扫描、存档</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评估材料组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统筹推进学风建设</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学生工作组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教学档案检查</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评估材料组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tcBorders>
              <w:top w:val="nil"/>
              <w:left w:val="single" w:sz="4" w:space="0" w:color="auto"/>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11月6日前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完成校长报告撰写</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报告起草组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vMerge w:val="restart"/>
            <w:tcBorders>
              <w:top w:val="nil"/>
              <w:left w:val="single" w:sz="4" w:space="0" w:color="auto"/>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11月15日前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完成联络员、重点考察单位、教师、学生等评估相关专题培训</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评建办</w:t>
            </w:r>
            <w:proofErr w:type="gramEnd"/>
            <w:r>
              <w:rPr>
                <w:rFonts w:ascii="宋体" w:eastAsia="宋体" w:hAnsi="宋体" w:cs="宋体" w:hint="eastAsia"/>
                <w:color w:val="000000"/>
                <w:kern w:val="0"/>
                <w:szCs w:val="21"/>
              </w:rPr>
              <w:t>、迎评工作组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主任、组长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完成的各类评估材料的最终调整和完善</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评估材料组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组织开展学生校情校史等评估相关知识宣传</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学生工作组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完成校园环境美化</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后勤保障组、宣传组、各单位</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组长、负责人</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11月18日前</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做好专家进校考察相关工作的前期协调保障，安排好专家食宿、专家工作室和会议室、专家往返的票务和接送站，提供专家组工作电脑、打印机等办公设备及生活用品，做好专家考察期间的网络畅通准备工作</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后勤保障组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vMerge w:val="restart"/>
            <w:tcBorders>
              <w:top w:val="nil"/>
              <w:left w:val="single" w:sz="4" w:space="0" w:color="auto"/>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11月19日</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检查专家驻地，检查专家用办公设备及办公用品，开通专家房间电话和网络；安排好专家组预备会的会议室；准备好考察第一天专家组见面会的会场</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后勤保障组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做好专家接站</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联络考察组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准备好专家案头材料、支撑材料，配合专家考察安排提供相关材料和数据</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评估材料组、联络考察组</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vMerge w:val="restart"/>
            <w:tcBorders>
              <w:top w:val="nil"/>
              <w:left w:val="single" w:sz="4" w:space="0" w:color="auto"/>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贯穿全程</w:t>
            </w: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根据需要召开审核评估专题会议，协调各工作组，统筹推进迎评工作</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迎评指挥部</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总指挥、执行指挥</w:t>
            </w:r>
          </w:p>
        </w:tc>
      </w:tr>
      <w:tr w:rsidR="00A62776" w:rsidTr="00A62776">
        <w:trPr>
          <w:trHeight w:val="645"/>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继续推进本组评估整改工作，做好本单位迎</w:t>
            </w:r>
            <w:proofErr w:type="gramStart"/>
            <w:r>
              <w:rPr>
                <w:rFonts w:ascii="宋体" w:eastAsia="宋体" w:hAnsi="宋体" w:cs="宋体" w:hint="eastAsia"/>
                <w:color w:val="000000"/>
                <w:kern w:val="0"/>
                <w:szCs w:val="21"/>
              </w:rPr>
              <w:t>评准备</w:t>
            </w:r>
            <w:proofErr w:type="gramEnd"/>
            <w:r>
              <w:rPr>
                <w:rFonts w:ascii="宋体" w:eastAsia="宋体" w:hAnsi="宋体" w:cs="宋体" w:hint="eastAsia"/>
                <w:color w:val="000000"/>
                <w:kern w:val="0"/>
                <w:szCs w:val="21"/>
              </w:rPr>
              <w:t>工作，针对专家深度访谈、听课看课、考察走访、问卷审阅的要求做好相关准备工作</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评建工作组</w:t>
            </w:r>
            <w:proofErr w:type="gramEnd"/>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采取措施提高课堂教学质量，加强校内外实践教学基地建设，加强学风建设</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院系评建工作组</w:t>
            </w:r>
            <w:proofErr w:type="gramEnd"/>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4" w:space="0" w:color="auto"/>
              <w:right w:val="single" w:sz="4"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配合学校提供各类评估材料</w:t>
            </w:r>
          </w:p>
        </w:tc>
        <w:tc>
          <w:tcPr>
            <w:tcW w:w="240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全校各单位</w:t>
            </w:r>
          </w:p>
        </w:tc>
        <w:tc>
          <w:tcPr>
            <w:tcW w:w="1840" w:type="dxa"/>
            <w:tcBorders>
              <w:top w:val="nil"/>
              <w:left w:val="nil"/>
              <w:bottom w:val="single" w:sz="4" w:space="0" w:color="auto"/>
              <w:right w:val="single" w:sz="4"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r>
      <w:tr w:rsidR="00A62776" w:rsidTr="00A62776">
        <w:trPr>
          <w:trHeight w:val="480"/>
        </w:trPr>
        <w:tc>
          <w:tcPr>
            <w:tcW w:w="1340" w:type="dxa"/>
            <w:vMerge w:val="restart"/>
            <w:tcBorders>
              <w:top w:val="nil"/>
              <w:left w:val="single" w:sz="8" w:space="0" w:color="auto"/>
              <w:bottom w:val="single" w:sz="8" w:space="0" w:color="000000"/>
              <w:right w:val="single" w:sz="8" w:space="0" w:color="auto"/>
            </w:tcBorders>
            <w:vAlign w:val="center"/>
          </w:tcPr>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专家进校中</w:t>
            </w: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p>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专家进校中</w:t>
            </w:r>
          </w:p>
        </w:tc>
        <w:tc>
          <w:tcPr>
            <w:tcW w:w="1820" w:type="dxa"/>
            <w:vMerge w:val="restart"/>
            <w:tcBorders>
              <w:top w:val="nil"/>
              <w:left w:val="single" w:sz="8" w:space="0" w:color="auto"/>
              <w:bottom w:val="single" w:sz="8" w:space="0" w:color="000000"/>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11月20—23日</w:t>
            </w: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做好20日上午专家组见面会、23日下午专家组评估意见反馈会的会务服务，组织好相关人员参会；为专家组会议提供服务</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后勤保障组</w:t>
            </w:r>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做好各类评估相关会议记录、记录整理、录音录像与相关资料保存工作；做好专家进校考察活动的宣传报道</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宣传组</w:t>
            </w:r>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配合专家做好访谈、听课、走访、查阅、调阅等考察工作，及时提供相关信息和资料，做好引导，做好专家意见记录汇总</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联络考察组、评估材料组</w:t>
            </w:r>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做好本单位迎评工作</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全校各单位</w:t>
            </w:r>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182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11月24日</w:t>
            </w: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做好专家送站工作</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联络考察组</w:t>
            </w:r>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1340" w:type="dxa"/>
            <w:vMerge w:val="restart"/>
            <w:tcBorders>
              <w:top w:val="nil"/>
              <w:left w:val="single" w:sz="8" w:space="0" w:color="auto"/>
              <w:bottom w:val="single" w:sz="8" w:space="0" w:color="000000"/>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专家离校后</w:t>
            </w:r>
          </w:p>
        </w:tc>
        <w:tc>
          <w:tcPr>
            <w:tcW w:w="1820" w:type="dxa"/>
            <w:vMerge w:val="restart"/>
            <w:tcBorders>
              <w:top w:val="nil"/>
              <w:left w:val="single" w:sz="8" w:space="0" w:color="auto"/>
              <w:bottom w:val="single" w:sz="8" w:space="0" w:color="000000"/>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2017年12月—2018年12月</w:t>
            </w: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专家进校考察期间的会议、走访、考察等活动情况及意见建议整理汇总，并于3个工作日内</w:t>
            </w:r>
            <w:proofErr w:type="gramStart"/>
            <w:r>
              <w:rPr>
                <w:rFonts w:ascii="宋体" w:eastAsia="宋体" w:hAnsi="宋体" w:cs="宋体" w:hint="eastAsia"/>
                <w:color w:val="000000"/>
                <w:kern w:val="0"/>
                <w:szCs w:val="21"/>
              </w:rPr>
              <w:t>提交评建办</w:t>
            </w:r>
            <w:proofErr w:type="gramEnd"/>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评建办</w:t>
            </w:r>
            <w:proofErr w:type="gramEnd"/>
            <w:r>
              <w:rPr>
                <w:rFonts w:ascii="宋体" w:eastAsia="宋体" w:hAnsi="宋体" w:cs="宋体" w:hint="eastAsia"/>
                <w:color w:val="000000"/>
                <w:kern w:val="0"/>
                <w:szCs w:val="21"/>
              </w:rPr>
              <w:t>、各相关单位</w:t>
            </w:r>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主任</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评估意见反馈会上的书面材料，对评估组织工作的意见、建议，对评估专家和项目管理员的评价等，一并汇总，并于10个工作日内报教育部评估中心</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评建办</w:t>
            </w:r>
            <w:proofErr w:type="gramEnd"/>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主任</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教育部专家组考察结束后一个月内制定学校本科教学工作审核评估整改方案，并在接到专家组审核评估报告三个月内将整改方案报送教育部和评估中心</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领导小组</w:t>
            </w:r>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组长</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对评估工作进行认真总结，组织校领导班子会议、中层干部会议、各部门各院系全体会议等不同层次的专题会议，讨论专家组反馈意见</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评建办</w:t>
            </w:r>
            <w:proofErr w:type="gramEnd"/>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主任</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召开会议布置整改工作，各牵头部门细化整改方案，分头整改，检查验收</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评建办</w:t>
            </w:r>
            <w:proofErr w:type="gramEnd"/>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主任</w:t>
            </w:r>
          </w:p>
        </w:tc>
      </w:tr>
      <w:tr w:rsidR="00A62776" w:rsidTr="00A62776">
        <w:trPr>
          <w:trHeight w:val="480"/>
        </w:trPr>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p>
        </w:tc>
        <w:tc>
          <w:tcPr>
            <w:tcW w:w="7080" w:type="dxa"/>
            <w:tcBorders>
              <w:top w:val="nil"/>
              <w:left w:val="nil"/>
              <w:bottom w:val="single" w:sz="8" w:space="0" w:color="auto"/>
              <w:right w:val="single" w:sz="8" w:space="0" w:color="auto"/>
            </w:tcBorders>
            <w:vAlign w:val="center"/>
            <w:hideMark/>
          </w:tcPr>
          <w:p w:rsidR="00A62776" w:rsidRDefault="00A627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整改一年后，形成学校《本科教学工作审核评估工作整改报告》，提交教育部和评估中心，接受上级部门的整改工作检查</w:t>
            </w:r>
          </w:p>
        </w:tc>
        <w:tc>
          <w:tcPr>
            <w:tcW w:w="240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评建办</w:t>
            </w:r>
            <w:proofErr w:type="gramEnd"/>
          </w:p>
        </w:tc>
        <w:tc>
          <w:tcPr>
            <w:tcW w:w="1840" w:type="dxa"/>
            <w:tcBorders>
              <w:top w:val="nil"/>
              <w:left w:val="nil"/>
              <w:bottom w:val="single" w:sz="8" w:space="0" w:color="auto"/>
              <w:right w:val="single" w:sz="8" w:space="0" w:color="auto"/>
            </w:tcBorders>
            <w:vAlign w:val="center"/>
            <w:hideMark/>
          </w:tcPr>
          <w:p w:rsidR="00A62776" w:rsidRDefault="00A627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主任</w:t>
            </w:r>
          </w:p>
        </w:tc>
      </w:tr>
    </w:tbl>
    <w:p w:rsidR="00A62776" w:rsidRDefault="00A62776" w:rsidP="00A62776">
      <w:pPr>
        <w:widowControl/>
        <w:jc w:val="left"/>
        <w:rPr>
          <w:color w:val="FF0000"/>
          <w:szCs w:val="21"/>
        </w:rPr>
      </w:pPr>
    </w:p>
    <w:p w:rsidR="00A842EA" w:rsidRDefault="00A842EA"/>
    <w:sectPr w:rsidR="00A842EA" w:rsidSect="00A6277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61"/>
    <w:rsid w:val="00115461"/>
    <w:rsid w:val="00730279"/>
    <w:rsid w:val="00A62776"/>
    <w:rsid w:val="00A8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952D1-6A61-4BA7-A2D8-B744F596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7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suemay</dc:creator>
  <cp:keywords/>
  <dc:description/>
  <cp:lastModifiedBy>Sky123.Org</cp:lastModifiedBy>
  <cp:revision>2</cp:revision>
  <dcterms:created xsi:type="dcterms:W3CDTF">2017-09-18T00:31:00Z</dcterms:created>
  <dcterms:modified xsi:type="dcterms:W3CDTF">2017-09-18T00:31:00Z</dcterms:modified>
</cp:coreProperties>
</file>